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B8" w:rsidRDefault="001741D3" w:rsidP="001741D3">
      <w:pPr>
        <w:jc w:val="center"/>
        <w:rPr>
          <w:rFonts w:ascii="Arial" w:hAnsi="Arial" w:cs="Arial"/>
          <w:sz w:val="24"/>
          <w:szCs w:val="24"/>
        </w:rPr>
      </w:pPr>
      <w:r w:rsidRPr="001741D3">
        <w:rPr>
          <w:rFonts w:ascii="Arial" w:hAnsi="Arial" w:cs="Arial"/>
          <w:sz w:val="24"/>
          <w:szCs w:val="24"/>
        </w:rPr>
        <w:t>Acta Subcomisión 2.1</w:t>
      </w:r>
    </w:p>
    <w:p w:rsidR="001741D3" w:rsidRDefault="001741D3" w:rsidP="001741D3">
      <w:pPr>
        <w:jc w:val="center"/>
        <w:rPr>
          <w:rFonts w:ascii="Arial" w:hAnsi="Arial" w:cs="Arial"/>
          <w:sz w:val="24"/>
          <w:szCs w:val="24"/>
        </w:rPr>
      </w:pPr>
    </w:p>
    <w:p w:rsidR="001741D3" w:rsidRDefault="001741D3" w:rsidP="00174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día 01.06.201 a las 1800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., se reunió la Subcomisión 2.1, conformada por </w:t>
      </w:r>
      <w:r>
        <w:rPr>
          <w:rFonts w:ascii="Arial" w:hAnsi="Arial" w:cs="Arial"/>
          <w:sz w:val="24"/>
          <w:szCs w:val="24"/>
        </w:rPr>
        <w:t xml:space="preserve">Paula Barrueto, Tania </w:t>
      </w:r>
      <w:proofErr w:type="spellStart"/>
      <w:r>
        <w:rPr>
          <w:rFonts w:ascii="Arial" w:hAnsi="Arial" w:cs="Arial"/>
          <w:sz w:val="24"/>
          <w:szCs w:val="24"/>
        </w:rPr>
        <w:t>Sironvalle</w:t>
      </w:r>
      <w:proofErr w:type="spellEnd"/>
      <w:r>
        <w:rPr>
          <w:rFonts w:ascii="Arial" w:hAnsi="Arial" w:cs="Arial"/>
          <w:sz w:val="24"/>
          <w:szCs w:val="24"/>
        </w:rPr>
        <w:t xml:space="preserve">, Marco Muñoz, Claudio Rebeco, Francisco </w:t>
      </w:r>
      <w:proofErr w:type="spellStart"/>
      <w:r>
        <w:rPr>
          <w:rFonts w:ascii="Arial" w:hAnsi="Arial" w:cs="Arial"/>
          <w:sz w:val="24"/>
          <w:szCs w:val="24"/>
        </w:rPr>
        <w:t>Ledezma</w:t>
      </w:r>
      <w:proofErr w:type="spellEnd"/>
      <w:r>
        <w:rPr>
          <w:rFonts w:ascii="Arial" w:hAnsi="Arial" w:cs="Arial"/>
          <w:sz w:val="24"/>
          <w:szCs w:val="24"/>
        </w:rPr>
        <w:t xml:space="preserve">, Cristián Suarez, Juan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Cheuquiante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Rolando Ramirez y Eduardo Ríos.</w:t>
      </w:r>
    </w:p>
    <w:p w:rsidR="001741D3" w:rsidRDefault="001741D3" w:rsidP="00174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Subcomisión decidió designar como encargado o presidente de esta a quien suscribe.</w:t>
      </w:r>
    </w:p>
    <w:p w:rsidR="001741D3" w:rsidRDefault="001741D3" w:rsidP="00174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Existió unanimidad en que la Exclusividad de la Investigación es un principio fundamental para el MP y debe mantenerse.</w:t>
      </w:r>
    </w:p>
    <w:p w:rsidR="001741D3" w:rsidRDefault="001741D3" w:rsidP="00174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planteó que la Exclusividad </w:t>
      </w:r>
      <w:r w:rsidRPr="001741D3">
        <w:rPr>
          <w:rFonts w:ascii="Arial" w:hAnsi="Arial" w:cs="Arial"/>
          <w:sz w:val="24"/>
          <w:szCs w:val="24"/>
        </w:rPr>
        <w:t xml:space="preserve">de la Investigación </w:t>
      </w:r>
      <w:r>
        <w:rPr>
          <w:rFonts w:ascii="Arial" w:hAnsi="Arial" w:cs="Arial"/>
          <w:sz w:val="24"/>
          <w:szCs w:val="24"/>
        </w:rPr>
        <w:t>se encuentra estrechamente ligada con el efectivo o completo ejercicio de la acción penal, que debe comprender la acción penal de delito</w:t>
      </w:r>
      <w:r w:rsidR="00B02A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actualmente se encuentra en manos de otros organismos públicos; con la relación con la Policías; y con la protección de las víctimas.</w:t>
      </w:r>
    </w:p>
    <w:p w:rsidR="001741D3" w:rsidRDefault="001741D3" w:rsidP="00174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acordó en comenzar a preparar por cada uno de los miembros de la SC 2.1, minutas que abarquen total o individualmente aspectos históricos, estadísticos</w:t>
      </w:r>
      <w:r w:rsidR="00FD4FC9">
        <w:rPr>
          <w:rFonts w:ascii="Arial" w:hAnsi="Arial" w:cs="Arial"/>
          <w:sz w:val="24"/>
          <w:szCs w:val="24"/>
        </w:rPr>
        <w:t xml:space="preserve"> tanto antes del inicio de la Reforma Procesal Penal como actuales</w:t>
      </w:r>
      <w:r>
        <w:rPr>
          <w:rFonts w:ascii="Arial" w:hAnsi="Arial" w:cs="Arial"/>
          <w:sz w:val="24"/>
          <w:szCs w:val="24"/>
        </w:rPr>
        <w:t xml:space="preserve">, </w:t>
      </w:r>
      <w:r w:rsidR="00FD4FC9">
        <w:rPr>
          <w:rFonts w:ascii="Arial" w:hAnsi="Arial" w:cs="Arial"/>
          <w:sz w:val="24"/>
          <w:szCs w:val="24"/>
        </w:rPr>
        <w:t xml:space="preserve">legislación </w:t>
      </w:r>
      <w:r>
        <w:rPr>
          <w:rFonts w:ascii="Arial" w:hAnsi="Arial" w:cs="Arial"/>
          <w:sz w:val="24"/>
          <w:szCs w:val="24"/>
        </w:rPr>
        <w:t>comparad</w:t>
      </w:r>
      <w:r w:rsidR="00FD4FC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legales (contrapesos o controles a la investigación) y </w:t>
      </w:r>
      <w:r w:rsidR="00FD4FC9">
        <w:rPr>
          <w:rFonts w:ascii="Arial" w:hAnsi="Arial" w:cs="Arial"/>
          <w:sz w:val="24"/>
          <w:szCs w:val="24"/>
        </w:rPr>
        <w:t>de realidad actual.</w:t>
      </w:r>
    </w:p>
    <w:p w:rsidR="00FD4FC9" w:rsidRDefault="00FD4FC9" w:rsidP="00174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acordó </w:t>
      </w:r>
      <w:r w:rsidR="00B02AE7">
        <w:rPr>
          <w:rFonts w:ascii="Arial" w:hAnsi="Arial" w:cs="Arial"/>
          <w:sz w:val="24"/>
          <w:szCs w:val="24"/>
        </w:rPr>
        <w:t>que se requeriría una ponencia a un Académico relacionada a la Exclusividad de la Investigación, experiencia comparada y el monopolio de investigación frente a víctimas y querellantes. La gestión se coordinará por Cristián Suarez.</w:t>
      </w:r>
    </w:p>
    <w:p w:rsidR="00B02AE7" w:rsidRDefault="00B02AE7" w:rsidP="00174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acordó que sería importante oír no sólo a Académicos, sino que también a organizaciones como el Colegio de Abogados y otras que organicen a víctimas.</w:t>
      </w:r>
    </w:p>
    <w:p w:rsidR="00B02AE7" w:rsidRDefault="00B02AE7" w:rsidP="00174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acordó que en base a lo que se expondrá por las otras </w:t>
      </w:r>
      <w:proofErr w:type="spellStart"/>
      <w:r>
        <w:rPr>
          <w:rFonts w:ascii="Arial" w:hAnsi="Arial" w:cs="Arial"/>
          <w:sz w:val="24"/>
          <w:szCs w:val="24"/>
        </w:rPr>
        <w:t>Subcomsiones</w:t>
      </w:r>
      <w:proofErr w:type="spellEnd"/>
      <w:r>
        <w:rPr>
          <w:rFonts w:ascii="Arial" w:hAnsi="Arial" w:cs="Arial"/>
          <w:sz w:val="24"/>
          <w:szCs w:val="24"/>
        </w:rPr>
        <w:t xml:space="preserve"> en la sesión de Comisión 2, que se desarrollará el día 02.06.2021, se ajustará o ampliará aspectos a analizar en la SC2.</w:t>
      </w:r>
    </w:p>
    <w:p w:rsidR="00B02AE7" w:rsidRDefault="00B02AE7" w:rsidP="001741D3">
      <w:pPr>
        <w:jc w:val="both"/>
        <w:rPr>
          <w:rFonts w:ascii="Arial" w:hAnsi="Arial" w:cs="Arial"/>
          <w:sz w:val="24"/>
          <w:szCs w:val="24"/>
        </w:rPr>
      </w:pPr>
    </w:p>
    <w:p w:rsidR="00B02AE7" w:rsidRDefault="00B02AE7" w:rsidP="00174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Ríos Briones</w:t>
      </w:r>
    </w:p>
    <w:p w:rsidR="001741D3" w:rsidRPr="001741D3" w:rsidRDefault="001741D3" w:rsidP="001741D3">
      <w:pPr>
        <w:jc w:val="both"/>
        <w:rPr>
          <w:rFonts w:ascii="Arial" w:hAnsi="Arial" w:cs="Arial"/>
          <w:sz w:val="24"/>
          <w:szCs w:val="24"/>
        </w:rPr>
      </w:pPr>
    </w:p>
    <w:sectPr w:rsidR="001741D3" w:rsidRPr="00174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D3"/>
    <w:rsid w:val="001741D3"/>
    <w:rsid w:val="005838B8"/>
    <w:rsid w:val="00B02AE7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Ríos Briones</dc:creator>
  <cp:lastModifiedBy>Eduardo Ríos Briones</cp:lastModifiedBy>
  <cp:revision>2</cp:revision>
  <dcterms:created xsi:type="dcterms:W3CDTF">2021-06-02T17:56:00Z</dcterms:created>
  <dcterms:modified xsi:type="dcterms:W3CDTF">2021-06-02T18:17:00Z</dcterms:modified>
</cp:coreProperties>
</file>